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D8" w:rsidRDefault="00426CD8" w:rsidP="00426CD8">
      <w:pPr>
        <w:jc w:val="center"/>
        <w:rPr>
          <w:b/>
          <w:sz w:val="28"/>
          <w:szCs w:val="32"/>
        </w:rPr>
      </w:pPr>
      <w:bookmarkStart w:id="0" w:name="_GoBack"/>
      <w:bookmarkEnd w:id="0"/>
    </w:p>
    <w:p w:rsidR="00264813" w:rsidRDefault="00264813" w:rsidP="00264813">
      <w:pPr>
        <w:pStyle w:val="NoSpacing"/>
        <w:tabs>
          <w:tab w:val="right" w:pos="9360"/>
        </w:tabs>
        <w:ind w:left="1080"/>
        <w:rPr>
          <w:sz w:val="18"/>
        </w:rPr>
      </w:pPr>
    </w:p>
    <w:p w:rsidR="00832FBD" w:rsidRPr="00832FBD" w:rsidRDefault="00832FBD" w:rsidP="00832FBD">
      <w:pPr>
        <w:jc w:val="center"/>
        <w:rPr>
          <w:rFonts w:ascii="Calibri" w:hAnsi="Calibri"/>
          <w:b/>
          <w:sz w:val="28"/>
          <w:szCs w:val="28"/>
        </w:rPr>
      </w:pPr>
      <w:r w:rsidRPr="00832FBD">
        <w:rPr>
          <w:rFonts w:ascii="Calibri" w:hAnsi="Calibri"/>
          <w:b/>
          <w:sz w:val="28"/>
          <w:szCs w:val="28"/>
        </w:rPr>
        <w:t>Outcome Measures: Introduction and Recommended Data Collection Procedures</w:t>
      </w:r>
    </w:p>
    <w:p w:rsidR="00832FBD" w:rsidRPr="00114368" w:rsidRDefault="00832FBD" w:rsidP="00832FBD">
      <w:pPr>
        <w:rPr>
          <w:rFonts w:ascii="Calibri" w:hAnsi="Calibri"/>
        </w:rPr>
      </w:pPr>
    </w:p>
    <w:p w:rsidR="00832FBD" w:rsidRPr="00114368" w:rsidRDefault="00832FBD" w:rsidP="00832FBD">
      <w:pPr>
        <w:rPr>
          <w:rFonts w:ascii="Calibri" w:hAnsi="Calibri"/>
          <w:b/>
        </w:rPr>
      </w:pPr>
      <w:r w:rsidRPr="00114368">
        <w:rPr>
          <w:rFonts w:ascii="Calibri" w:hAnsi="Calibri"/>
          <w:b/>
        </w:rPr>
        <w:t>Background</w:t>
      </w:r>
      <w:r>
        <w:rPr>
          <w:rFonts w:ascii="Calibri" w:hAnsi="Calibri"/>
          <w:b/>
        </w:rPr>
        <w:t xml:space="preserve"> and</w:t>
      </w:r>
      <w:r w:rsidRPr="00114368">
        <w:rPr>
          <w:rFonts w:ascii="Calibri" w:hAnsi="Calibri"/>
          <w:b/>
        </w:rPr>
        <w:t xml:space="preserve"> Rationale</w:t>
      </w:r>
    </w:p>
    <w:p w:rsidR="00832FBD" w:rsidRPr="00114368" w:rsidRDefault="00832FBD" w:rsidP="00832FBD">
      <w:pPr>
        <w:rPr>
          <w:rFonts w:ascii="Calibri" w:hAnsi="Calibri"/>
        </w:rPr>
      </w:pPr>
      <w:r w:rsidRPr="00114368">
        <w:rPr>
          <w:rFonts w:ascii="Calibri" w:hAnsi="Calibri"/>
        </w:rPr>
        <w:t xml:space="preserve">The purpose of the baseline and post-intervention outcome evaluation is to determine what </w:t>
      </w:r>
      <w:r>
        <w:rPr>
          <w:rFonts w:ascii="Calibri" w:hAnsi="Calibri"/>
        </w:rPr>
        <w:t>impact</w:t>
      </w:r>
      <w:r w:rsidRPr="00114368">
        <w:rPr>
          <w:rFonts w:ascii="Calibri" w:hAnsi="Calibri"/>
        </w:rPr>
        <w:t xml:space="preserve"> </w:t>
      </w:r>
      <w:r>
        <w:rPr>
          <w:rFonts w:ascii="Calibri" w:hAnsi="Calibri"/>
        </w:rPr>
        <w:t xml:space="preserve">a hospital’s initiatives related to insulin pen safety process improvement(s) </w:t>
      </w:r>
      <w:r w:rsidRPr="00114368">
        <w:rPr>
          <w:rFonts w:ascii="Calibri" w:hAnsi="Calibri"/>
        </w:rPr>
        <w:t xml:space="preserve">(Impact </w:t>
      </w:r>
      <w:r>
        <w:rPr>
          <w:rFonts w:ascii="Calibri" w:hAnsi="Calibri"/>
        </w:rPr>
        <w:t>Initiative</w:t>
      </w:r>
      <w:r w:rsidRPr="00114368">
        <w:rPr>
          <w:rFonts w:ascii="Calibri" w:hAnsi="Calibri"/>
        </w:rPr>
        <w:t xml:space="preserve">) had on </w:t>
      </w:r>
      <w:r>
        <w:rPr>
          <w:rFonts w:ascii="Calibri" w:hAnsi="Calibri"/>
        </w:rPr>
        <w:t>the appropriate use of insulin pen devices in the hospital.</w:t>
      </w:r>
    </w:p>
    <w:p w:rsidR="00832FBD" w:rsidRDefault="00832FBD" w:rsidP="00832FBD">
      <w:pPr>
        <w:rPr>
          <w:rFonts w:ascii="Calibri" w:hAnsi="Calibri"/>
        </w:rPr>
      </w:pPr>
      <w:r>
        <w:rPr>
          <w:rFonts w:ascii="Calibri" w:hAnsi="Calibri"/>
        </w:rPr>
        <w:t>According to</w:t>
      </w:r>
      <w:r w:rsidRPr="00114368">
        <w:rPr>
          <w:rFonts w:ascii="Calibri" w:hAnsi="Calibri"/>
        </w:rPr>
        <w:t xml:space="preserve"> </w:t>
      </w:r>
      <w:r>
        <w:rPr>
          <w:rFonts w:ascii="Calibri" w:hAnsi="Calibri"/>
        </w:rPr>
        <w:t>Moore’s framework for outcomes assessment</w:t>
      </w:r>
      <w:proofErr w:type="gramStart"/>
      <w:r>
        <w:rPr>
          <w:rFonts w:ascii="Calibri" w:hAnsi="Calibri"/>
        </w:rPr>
        <w:t>,</w:t>
      </w:r>
      <w:r>
        <w:rPr>
          <w:rFonts w:ascii="Calibri" w:hAnsi="Calibri"/>
          <w:vertAlign w:val="superscript"/>
        </w:rPr>
        <w:t>1</w:t>
      </w:r>
      <w:proofErr w:type="gramEnd"/>
      <w:r w:rsidRPr="00114368">
        <w:rPr>
          <w:rFonts w:ascii="Calibri" w:hAnsi="Calibri"/>
        </w:rPr>
        <w:t xml:space="preserve"> </w:t>
      </w:r>
      <w:r>
        <w:rPr>
          <w:rFonts w:ascii="Calibri" w:hAnsi="Calibri"/>
        </w:rPr>
        <w:t>“</w:t>
      </w:r>
      <w:r w:rsidRPr="00114368">
        <w:rPr>
          <w:rFonts w:ascii="Calibri" w:hAnsi="Calibri"/>
        </w:rPr>
        <w:t>Level 5</w:t>
      </w:r>
      <w:r>
        <w:rPr>
          <w:rFonts w:ascii="Calibri" w:hAnsi="Calibri"/>
        </w:rPr>
        <w:t>”</w:t>
      </w:r>
      <w:r w:rsidRPr="00114368">
        <w:rPr>
          <w:rFonts w:ascii="Calibri" w:hAnsi="Calibri"/>
        </w:rPr>
        <w:t xml:space="preserve"> outcomes are indicators of p</w:t>
      </w:r>
      <w:r>
        <w:rPr>
          <w:rFonts w:ascii="Calibri" w:hAnsi="Calibri"/>
        </w:rPr>
        <w:t>erformance, and “</w:t>
      </w:r>
      <w:r w:rsidRPr="00114368">
        <w:rPr>
          <w:rFonts w:ascii="Calibri" w:hAnsi="Calibri"/>
        </w:rPr>
        <w:t>Level 6</w:t>
      </w:r>
      <w:r>
        <w:rPr>
          <w:rFonts w:ascii="Calibri" w:hAnsi="Calibri"/>
        </w:rPr>
        <w:t>”</w:t>
      </w:r>
      <w:r w:rsidRPr="00114368">
        <w:rPr>
          <w:rFonts w:ascii="Calibri" w:hAnsi="Calibri"/>
        </w:rPr>
        <w:t xml:space="preserve"> outcomes are indicators of improvements in patient health. While a reduction in </w:t>
      </w:r>
      <w:r>
        <w:rPr>
          <w:rFonts w:ascii="Calibri" w:hAnsi="Calibri"/>
        </w:rPr>
        <w:t>adverse effects related to insulin pen use</w:t>
      </w:r>
      <w:r w:rsidRPr="00114368">
        <w:rPr>
          <w:rFonts w:ascii="Calibri" w:hAnsi="Calibri"/>
        </w:rPr>
        <w:t xml:space="preserve"> (e.g., </w:t>
      </w:r>
      <w:r>
        <w:rPr>
          <w:rFonts w:ascii="Calibri" w:hAnsi="Calibri"/>
        </w:rPr>
        <w:t>blood-borne infections, hypoglycemia</w:t>
      </w:r>
      <w:r w:rsidRPr="00114368">
        <w:rPr>
          <w:rFonts w:ascii="Calibri" w:hAnsi="Calibri"/>
        </w:rPr>
        <w:t xml:space="preserve">) is the ultimate goal, this is </w:t>
      </w:r>
      <w:r>
        <w:rPr>
          <w:rFonts w:ascii="Calibri" w:hAnsi="Calibri"/>
        </w:rPr>
        <w:t>not always feasible to measure. It would require a well-funded clinical trial with a large sample size and the ability to capture data from surrounding institutions.  Ensuring that everyone engaged in the medication use process safeguards patients by properly labeling and storing insulin pens, using them in accordance with the manufacturers’ recommended injection techniques, and adopting strategies to limit their use to only one patient</w:t>
      </w:r>
      <w:r>
        <w:rPr>
          <w:rFonts w:ascii="Calibri" w:hAnsi="Calibri"/>
          <w:vertAlign w:val="superscript"/>
        </w:rPr>
        <w:t>2-4</w:t>
      </w:r>
      <w:r w:rsidRPr="00114368">
        <w:rPr>
          <w:rFonts w:ascii="Calibri" w:hAnsi="Calibri"/>
        </w:rPr>
        <w:t xml:space="preserve"> is sufficient proof that the risk of </w:t>
      </w:r>
      <w:r>
        <w:rPr>
          <w:rFonts w:ascii="Calibri" w:hAnsi="Calibri"/>
        </w:rPr>
        <w:t>potential adverse effects related to insulin pen use</w:t>
      </w:r>
      <w:r w:rsidRPr="00114368">
        <w:rPr>
          <w:rFonts w:ascii="Calibri" w:hAnsi="Calibri"/>
        </w:rPr>
        <w:t xml:space="preserve"> has been mitigated</w:t>
      </w:r>
      <w:r>
        <w:rPr>
          <w:rFonts w:ascii="Calibri" w:hAnsi="Calibri"/>
        </w:rPr>
        <w:t xml:space="preserve">. </w:t>
      </w:r>
    </w:p>
    <w:p w:rsidR="00832FBD" w:rsidRDefault="00832FBD" w:rsidP="00832FBD">
      <w:pPr>
        <w:rPr>
          <w:rFonts w:ascii="Calibri" w:hAnsi="Calibri"/>
        </w:rPr>
      </w:pPr>
    </w:p>
    <w:p w:rsidR="00832FBD" w:rsidRDefault="00832FBD" w:rsidP="00832FBD">
      <w:pPr>
        <w:rPr>
          <w:rFonts w:ascii="Calibri" w:hAnsi="Calibri"/>
        </w:rPr>
      </w:pPr>
      <w:r w:rsidRPr="00114368">
        <w:rPr>
          <w:rFonts w:ascii="Calibri" w:hAnsi="Calibri"/>
          <w:b/>
        </w:rPr>
        <w:t>Baseline and Post-intervention Data Collection</w:t>
      </w:r>
      <w:r>
        <w:rPr>
          <w:rFonts w:ascii="Calibri" w:hAnsi="Calibri"/>
        </w:rPr>
        <w:t xml:space="preserve"> </w:t>
      </w:r>
    </w:p>
    <w:p w:rsidR="00832FBD" w:rsidRDefault="00832FBD" w:rsidP="00832FBD">
      <w:pPr>
        <w:rPr>
          <w:rFonts w:ascii="Calibri" w:hAnsi="Calibri"/>
        </w:rPr>
      </w:pPr>
      <w:r>
        <w:rPr>
          <w:rFonts w:ascii="Calibri" w:hAnsi="Calibri"/>
        </w:rPr>
        <w:t>Three outcomes evaluations tools were developed as part of the Quality Improvement Initiative Activity, “Strategies for Ensuring the Safe Use of Insulin Pens in the Hospital,” all of which can be used by individual hospitals as part of their quality improvement initiatives:</w:t>
      </w:r>
    </w:p>
    <w:p w:rsidR="00832FBD" w:rsidRPr="00D81AFB" w:rsidRDefault="00832FBD" w:rsidP="00595F9D">
      <w:pPr>
        <w:pStyle w:val="ListParagraph"/>
        <w:numPr>
          <w:ilvl w:val="0"/>
          <w:numId w:val="8"/>
        </w:numPr>
        <w:spacing w:after="120" w:line="240" w:lineRule="auto"/>
        <w:contextualSpacing w:val="0"/>
        <w:rPr>
          <w:rFonts w:ascii="Calibri" w:hAnsi="Calibri"/>
        </w:rPr>
      </w:pPr>
      <w:r w:rsidRPr="00D81AFB">
        <w:rPr>
          <w:rFonts w:ascii="Calibri" w:hAnsi="Calibri"/>
        </w:rPr>
        <w:t xml:space="preserve">Nurse </w:t>
      </w:r>
      <w:r>
        <w:rPr>
          <w:rFonts w:ascii="Calibri" w:hAnsi="Calibri"/>
        </w:rPr>
        <w:t>Knowledge Assessment</w:t>
      </w:r>
      <w:r w:rsidRPr="00D81AFB">
        <w:rPr>
          <w:rFonts w:ascii="Calibri" w:hAnsi="Calibri"/>
        </w:rPr>
        <w:t xml:space="preserve"> - Level 3A/3B Outcome (Declarative and Procedural Knowledge)</w:t>
      </w:r>
    </w:p>
    <w:p w:rsidR="00832FBD" w:rsidRPr="00D81AFB" w:rsidRDefault="00832FBD" w:rsidP="00595F9D">
      <w:pPr>
        <w:pStyle w:val="ListParagraph"/>
        <w:numPr>
          <w:ilvl w:val="0"/>
          <w:numId w:val="8"/>
        </w:numPr>
        <w:spacing w:after="120" w:line="240" w:lineRule="auto"/>
        <w:contextualSpacing w:val="0"/>
        <w:rPr>
          <w:rFonts w:ascii="Calibri" w:hAnsi="Calibri"/>
        </w:rPr>
      </w:pPr>
      <w:r w:rsidRPr="00D81AFB">
        <w:rPr>
          <w:rFonts w:ascii="Calibri" w:hAnsi="Calibri"/>
        </w:rPr>
        <w:t>Observed Insulin Injection - Level 5 Outcome (Performance)</w:t>
      </w:r>
    </w:p>
    <w:p w:rsidR="00832FBD" w:rsidRPr="00D81AFB" w:rsidRDefault="00832FBD" w:rsidP="00595F9D">
      <w:pPr>
        <w:pStyle w:val="ListParagraph"/>
        <w:numPr>
          <w:ilvl w:val="0"/>
          <w:numId w:val="8"/>
        </w:numPr>
        <w:spacing w:after="120"/>
        <w:contextualSpacing w:val="0"/>
        <w:rPr>
          <w:rFonts w:ascii="Calibri" w:hAnsi="Calibri"/>
        </w:rPr>
      </w:pPr>
      <w:r w:rsidRPr="00D81AFB">
        <w:rPr>
          <w:rFonts w:ascii="Calibri" w:hAnsi="Calibri"/>
        </w:rPr>
        <w:t>Insulin Pen Storage and Labeling Audit - Level 5 Outcome (Performance)</w:t>
      </w:r>
    </w:p>
    <w:p w:rsidR="00832FBD" w:rsidRDefault="00832FBD" w:rsidP="00832FBD">
      <w:pPr>
        <w:rPr>
          <w:rFonts w:ascii="Calibri" w:hAnsi="Calibri"/>
        </w:rPr>
      </w:pPr>
    </w:p>
    <w:p w:rsidR="00832FBD" w:rsidRDefault="00832FBD" w:rsidP="00832FBD">
      <w:pPr>
        <w:rPr>
          <w:rFonts w:ascii="Calibri" w:hAnsi="Calibri"/>
        </w:rPr>
      </w:pPr>
      <w:r>
        <w:rPr>
          <w:rFonts w:ascii="Calibri" w:hAnsi="Calibri"/>
        </w:rPr>
        <w:t>It is suggested that the three outcome evaluation tools be used together to provide the hospital with data that can help identify potential safety issues related to the use of insulin pens, covering both knowledge and process issues. The recommended process would be as follows:</w:t>
      </w:r>
    </w:p>
    <w:p w:rsidR="00832FBD" w:rsidRPr="00FF7DB7" w:rsidRDefault="00832FBD" w:rsidP="00832FBD">
      <w:pPr>
        <w:rPr>
          <w:rFonts w:ascii="Calibri" w:hAnsi="Calibri"/>
        </w:rPr>
      </w:pPr>
    </w:p>
    <w:tbl>
      <w:tblPr>
        <w:tblStyle w:val="TableGrid"/>
        <w:tblW w:w="0" w:type="auto"/>
        <w:tblLook w:val="04A0" w:firstRow="1" w:lastRow="0" w:firstColumn="1" w:lastColumn="0" w:noHBand="0" w:noVBand="1"/>
      </w:tblPr>
      <w:tblGrid>
        <w:gridCol w:w="3192"/>
        <w:gridCol w:w="2496"/>
        <w:gridCol w:w="3888"/>
      </w:tblGrid>
      <w:tr w:rsidR="00832FBD" w:rsidTr="00832FBD">
        <w:tc>
          <w:tcPr>
            <w:tcW w:w="3192" w:type="dxa"/>
          </w:tcPr>
          <w:p w:rsidR="00832FBD" w:rsidRPr="006521B5" w:rsidRDefault="00832FBD" w:rsidP="00832FBD">
            <w:pPr>
              <w:jc w:val="center"/>
              <w:rPr>
                <w:rFonts w:ascii="Calibri" w:hAnsi="Calibri"/>
                <w:b/>
              </w:rPr>
            </w:pPr>
            <w:r w:rsidRPr="006521B5">
              <w:rPr>
                <w:rFonts w:ascii="Calibri" w:hAnsi="Calibri"/>
                <w:b/>
              </w:rPr>
              <w:lastRenderedPageBreak/>
              <w:t>Step</w:t>
            </w:r>
          </w:p>
        </w:tc>
        <w:tc>
          <w:tcPr>
            <w:tcW w:w="2496" w:type="dxa"/>
          </w:tcPr>
          <w:p w:rsidR="00832FBD" w:rsidRPr="006521B5" w:rsidRDefault="00832FBD" w:rsidP="00832FBD">
            <w:pPr>
              <w:jc w:val="center"/>
              <w:rPr>
                <w:rFonts w:ascii="Calibri" w:hAnsi="Calibri"/>
                <w:b/>
              </w:rPr>
            </w:pPr>
            <w:r w:rsidRPr="006521B5">
              <w:rPr>
                <w:rFonts w:ascii="Calibri" w:hAnsi="Calibri"/>
                <w:b/>
              </w:rPr>
              <w:t>Time Frame</w:t>
            </w:r>
          </w:p>
        </w:tc>
        <w:tc>
          <w:tcPr>
            <w:tcW w:w="3888" w:type="dxa"/>
          </w:tcPr>
          <w:p w:rsidR="00832FBD" w:rsidRPr="006521B5" w:rsidRDefault="00832FBD" w:rsidP="00832FBD">
            <w:pPr>
              <w:jc w:val="center"/>
              <w:rPr>
                <w:rFonts w:ascii="Calibri" w:hAnsi="Calibri"/>
                <w:b/>
              </w:rPr>
            </w:pPr>
            <w:r w:rsidRPr="006521B5">
              <w:rPr>
                <w:rFonts w:ascii="Calibri" w:hAnsi="Calibri"/>
                <w:b/>
              </w:rPr>
              <w:t>Notes</w:t>
            </w:r>
          </w:p>
        </w:tc>
      </w:tr>
      <w:tr w:rsidR="00832FBD" w:rsidTr="00832FBD">
        <w:tc>
          <w:tcPr>
            <w:tcW w:w="3192" w:type="dxa"/>
          </w:tcPr>
          <w:p w:rsidR="00832FBD" w:rsidRDefault="00832FBD" w:rsidP="00832FBD">
            <w:pPr>
              <w:rPr>
                <w:rFonts w:ascii="Calibri" w:hAnsi="Calibri"/>
              </w:rPr>
            </w:pPr>
            <w:r w:rsidRPr="008648E4">
              <w:rPr>
                <w:rFonts w:ascii="Calibri" w:hAnsi="Calibri"/>
              </w:rPr>
              <w:t xml:space="preserve">Assemble </w:t>
            </w:r>
            <w:proofErr w:type="spellStart"/>
            <w:r w:rsidRPr="008648E4">
              <w:rPr>
                <w:rFonts w:ascii="Calibri" w:hAnsi="Calibri"/>
              </w:rPr>
              <w:t>interprofessional</w:t>
            </w:r>
            <w:proofErr w:type="spellEnd"/>
            <w:r w:rsidRPr="008648E4">
              <w:rPr>
                <w:rFonts w:ascii="Calibri" w:hAnsi="Calibri"/>
              </w:rPr>
              <w:t xml:space="preserve"> team</w:t>
            </w:r>
          </w:p>
        </w:tc>
        <w:tc>
          <w:tcPr>
            <w:tcW w:w="2496" w:type="dxa"/>
          </w:tcPr>
          <w:p w:rsidR="00832FBD" w:rsidRDefault="00832FBD" w:rsidP="00832FBD">
            <w:pPr>
              <w:rPr>
                <w:rFonts w:ascii="Calibri" w:hAnsi="Calibri"/>
              </w:rPr>
            </w:pPr>
            <w:r>
              <w:rPr>
                <w:rFonts w:ascii="Calibri" w:hAnsi="Calibri"/>
              </w:rPr>
              <w:t>1 month</w:t>
            </w:r>
          </w:p>
        </w:tc>
        <w:tc>
          <w:tcPr>
            <w:tcW w:w="3888" w:type="dxa"/>
          </w:tcPr>
          <w:p w:rsidR="00832FBD" w:rsidRDefault="00832FBD" w:rsidP="00832FBD">
            <w:pPr>
              <w:rPr>
                <w:rFonts w:ascii="Calibri" w:hAnsi="Calibri"/>
              </w:rPr>
            </w:pPr>
            <w:r>
              <w:rPr>
                <w:rFonts w:ascii="Calibri" w:hAnsi="Calibri"/>
              </w:rPr>
              <w:t>Include pharmacists, nurses, physicians, IT professionals, etc.</w:t>
            </w:r>
          </w:p>
        </w:tc>
      </w:tr>
      <w:tr w:rsidR="00832FBD" w:rsidTr="00832FBD">
        <w:tc>
          <w:tcPr>
            <w:tcW w:w="3192" w:type="dxa"/>
          </w:tcPr>
          <w:p w:rsidR="00832FBD" w:rsidRDefault="00832FBD" w:rsidP="00832FBD">
            <w:pPr>
              <w:rPr>
                <w:rFonts w:ascii="Calibri" w:hAnsi="Calibri"/>
              </w:rPr>
            </w:pPr>
            <w:r w:rsidRPr="008648E4">
              <w:rPr>
                <w:rFonts w:ascii="Calibri" w:hAnsi="Calibri"/>
              </w:rPr>
              <w:t>Develop a plan for baseline data collection</w:t>
            </w:r>
          </w:p>
        </w:tc>
        <w:tc>
          <w:tcPr>
            <w:tcW w:w="2496" w:type="dxa"/>
          </w:tcPr>
          <w:p w:rsidR="00832FBD" w:rsidRDefault="00832FBD" w:rsidP="00832FBD">
            <w:pPr>
              <w:rPr>
                <w:rFonts w:ascii="Calibri" w:hAnsi="Calibri"/>
              </w:rPr>
            </w:pPr>
            <w:r>
              <w:rPr>
                <w:rFonts w:ascii="Calibri" w:hAnsi="Calibri"/>
              </w:rPr>
              <w:t>1 month</w:t>
            </w:r>
          </w:p>
        </w:tc>
        <w:tc>
          <w:tcPr>
            <w:tcW w:w="3888" w:type="dxa"/>
          </w:tcPr>
          <w:p w:rsidR="00832FBD" w:rsidRDefault="00832FBD" w:rsidP="00832FBD">
            <w:pPr>
              <w:rPr>
                <w:rFonts w:ascii="Calibri" w:hAnsi="Calibri"/>
              </w:rPr>
            </w:pPr>
            <w:r>
              <w:rPr>
                <w:rFonts w:ascii="Calibri" w:hAnsi="Calibri"/>
              </w:rPr>
              <w:t>Collect data for all 3 outcome measures</w:t>
            </w:r>
          </w:p>
        </w:tc>
      </w:tr>
      <w:tr w:rsidR="00832FBD" w:rsidTr="00832FBD">
        <w:tc>
          <w:tcPr>
            <w:tcW w:w="3192" w:type="dxa"/>
          </w:tcPr>
          <w:p w:rsidR="00832FBD" w:rsidRDefault="00832FBD" w:rsidP="00832FBD">
            <w:pPr>
              <w:rPr>
                <w:rFonts w:ascii="Calibri" w:hAnsi="Calibri"/>
              </w:rPr>
            </w:pPr>
            <w:r w:rsidRPr="008648E4">
              <w:rPr>
                <w:rFonts w:ascii="Calibri" w:hAnsi="Calibri"/>
              </w:rPr>
              <w:t>Review data</w:t>
            </w:r>
            <w:r>
              <w:rPr>
                <w:rFonts w:ascii="Calibri" w:hAnsi="Calibri"/>
              </w:rPr>
              <w:t>,</w:t>
            </w:r>
            <w:r w:rsidRPr="008648E4">
              <w:rPr>
                <w:rFonts w:ascii="Calibri" w:hAnsi="Calibri"/>
              </w:rPr>
              <w:t xml:space="preserve"> identify potential safety risks related to the use of insulin pens</w:t>
            </w:r>
            <w:r>
              <w:rPr>
                <w:rFonts w:ascii="Calibri" w:hAnsi="Calibri"/>
              </w:rPr>
              <w:t>, and develop intervention plan</w:t>
            </w:r>
          </w:p>
        </w:tc>
        <w:tc>
          <w:tcPr>
            <w:tcW w:w="2496" w:type="dxa"/>
          </w:tcPr>
          <w:p w:rsidR="00832FBD" w:rsidRDefault="00832FBD" w:rsidP="00832FBD">
            <w:pPr>
              <w:rPr>
                <w:rFonts w:ascii="Calibri" w:hAnsi="Calibri"/>
              </w:rPr>
            </w:pPr>
            <w:r>
              <w:rPr>
                <w:rFonts w:ascii="Calibri" w:hAnsi="Calibri"/>
              </w:rPr>
              <w:t>1-2 months</w:t>
            </w:r>
          </w:p>
        </w:tc>
        <w:tc>
          <w:tcPr>
            <w:tcW w:w="3888" w:type="dxa"/>
          </w:tcPr>
          <w:p w:rsidR="00832FBD" w:rsidRDefault="00832FBD" w:rsidP="00832FBD">
            <w:pPr>
              <w:rPr>
                <w:rFonts w:ascii="Calibri" w:hAnsi="Calibri"/>
              </w:rPr>
            </w:pPr>
          </w:p>
        </w:tc>
      </w:tr>
      <w:tr w:rsidR="00832FBD" w:rsidTr="00832FBD">
        <w:tc>
          <w:tcPr>
            <w:tcW w:w="3192" w:type="dxa"/>
          </w:tcPr>
          <w:p w:rsidR="00832FBD" w:rsidRDefault="00832FBD" w:rsidP="00832FBD">
            <w:pPr>
              <w:rPr>
                <w:rFonts w:ascii="Calibri" w:hAnsi="Calibri"/>
              </w:rPr>
            </w:pPr>
            <w:r>
              <w:rPr>
                <w:rFonts w:ascii="Calibri" w:hAnsi="Calibri"/>
              </w:rPr>
              <w:t>I</w:t>
            </w:r>
            <w:r w:rsidRPr="006521B5">
              <w:rPr>
                <w:rFonts w:ascii="Calibri" w:hAnsi="Calibri"/>
              </w:rPr>
              <w:t>mplement</w:t>
            </w:r>
            <w:r>
              <w:rPr>
                <w:rFonts w:ascii="Calibri" w:hAnsi="Calibri"/>
              </w:rPr>
              <w:t xml:space="preserve"> </w:t>
            </w:r>
            <w:r w:rsidRPr="006521B5">
              <w:rPr>
                <w:rFonts w:ascii="Calibri" w:hAnsi="Calibri"/>
              </w:rPr>
              <w:t>intervention</w:t>
            </w:r>
            <w:r>
              <w:rPr>
                <w:rFonts w:ascii="Calibri" w:hAnsi="Calibri"/>
              </w:rPr>
              <w:t xml:space="preserve"> plan</w:t>
            </w:r>
            <w:r w:rsidRPr="006521B5">
              <w:rPr>
                <w:rFonts w:ascii="Calibri" w:hAnsi="Calibri"/>
              </w:rPr>
              <w:t xml:space="preserve"> to mitigate potential safety risks</w:t>
            </w:r>
          </w:p>
        </w:tc>
        <w:tc>
          <w:tcPr>
            <w:tcW w:w="2496" w:type="dxa"/>
          </w:tcPr>
          <w:p w:rsidR="00832FBD" w:rsidRDefault="00832FBD" w:rsidP="00832FBD">
            <w:pPr>
              <w:rPr>
                <w:rFonts w:ascii="Calibri" w:hAnsi="Calibri"/>
              </w:rPr>
            </w:pPr>
            <w:r>
              <w:rPr>
                <w:rFonts w:ascii="Calibri" w:hAnsi="Calibri"/>
              </w:rPr>
              <w:t>At least 4 months</w:t>
            </w:r>
          </w:p>
        </w:tc>
        <w:tc>
          <w:tcPr>
            <w:tcW w:w="3888" w:type="dxa"/>
          </w:tcPr>
          <w:p w:rsidR="00832FBD" w:rsidRDefault="00832FBD" w:rsidP="00832FBD">
            <w:pPr>
              <w:rPr>
                <w:rFonts w:ascii="Calibri" w:hAnsi="Calibri"/>
              </w:rPr>
            </w:pPr>
            <w:r>
              <w:rPr>
                <w:rFonts w:ascii="Calibri" w:hAnsi="Calibri"/>
              </w:rPr>
              <w:t>Intervention plan to should target one or two key safety issues; don’t try to tackle everything all at once</w:t>
            </w:r>
          </w:p>
        </w:tc>
      </w:tr>
      <w:tr w:rsidR="00832FBD" w:rsidTr="00832FBD">
        <w:tc>
          <w:tcPr>
            <w:tcW w:w="3192" w:type="dxa"/>
          </w:tcPr>
          <w:p w:rsidR="00832FBD" w:rsidRDefault="00832FBD" w:rsidP="00832FBD">
            <w:pPr>
              <w:rPr>
                <w:rFonts w:ascii="Calibri" w:hAnsi="Calibri"/>
              </w:rPr>
            </w:pPr>
            <w:r w:rsidRPr="006521B5">
              <w:rPr>
                <w:rFonts w:ascii="Calibri" w:hAnsi="Calibri"/>
              </w:rPr>
              <w:t xml:space="preserve">Collect post-implementation data to identify impact of </w:t>
            </w:r>
            <w:r>
              <w:rPr>
                <w:rFonts w:ascii="Calibri" w:hAnsi="Calibri"/>
              </w:rPr>
              <w:t xml:space="preserve">intervention </w:t>
            </w:r>
          </w:p>
        </w:tc>
        <w:tc>
          <w:tcPr>
            <w:tcW w:w="2496" w:type="dxa"/>
          </w:tcPr>
          <w:p w:rsidR="00832FBD" w:rsidRDefault="00832FBD" w:rsidP="00832FBD">
            <w:pPr>
              <w:rPr>
                <w:rFonts w:ascii="Calibri" w:hAnsi="Calibri"/>
              </w:rPr>
            </w:pPr>
            <w:r>
              <w:rPr>
                <w:rFonts w:ascii="Calibri" w:hAnsi="Calibri"/>
              </w:rPr>
              <w:t>1 month</w:t>
            </w:r>
          </w:p>
        </w:tc>
        <w:tc>
          <w:tcPr>
            <w:tcW w:w="3888" w:type="dxa"/>
          </w:tcPr>
          <w:p w:rsidR="00832FBD" w:rsidRDefault="00832FBD" w:rsidP="00832FBD">
            <w:pPr>
              <w:rPr>
                <w:rFonts w:ascii="Calibri" w:hAnsi="Calibri"/>
              </w:rPr>
            </w:pPr>
            <w:r>
              <w:rPr>
                <w:rFonts w:ascii="Calibri" w:hAnsi="Calibri"/>
              </w:rPr>
              <w:t>Collect data using the same methodology used for baseline data collection</w:t>
            </w:r>
          </w:p>
        </w:tc>
      </w:tr>
      <w:tr w:rsidR="00832FBD" w:rsidTr="00832FBD">
        <w:tc>
          <w:tcPr>
            <w:tcW w:w="3192" w:type="dxa"/>
          </w:tcPr>
          <w:p w:rsidR="00832FBD" w:rsidRPr="006521B5" w:rsidRDefault="00832FBD" w:rsidP="00832FBD">
            <w:pPr>
              <w:rPr>
                <w:rFonts w:ascii="Calibri" w:hAnsi="Calibri"/>
              </w:rPr>
            </w:pPr>
            <w:r>
              <w:rPr>
                <w:rFonts w:ascii="Calibri" w:hAnsi="Calibri"/>
              </w:rPr>
              <w:t>Analyze and share results, identify safety risks, implement new interventions, and …</w:t>
            </w:r>
          </w:p>
        </w:tc>
        <w:tc>
          <w:tcPr>
            <w:tcW w:w="2496" w:type="dxa"/>
          </w:tcPr>
          <w:p w:rsidR="00832FBD" w:rsidRDefault="00832FBD" w:rsidP="00832FBD">
            <w:pPr>
              <w:rPr>
                <w:rFonts w:ascii="Calibri" w:hAnsi="Calibri"/>
              </w:rPr>
            </w:pPr>
            <w:r>
              <w:rPr>
                <w:rFonts w:ascii="Calibri" w:hAnsi="Calibri"/>
              </w:rPr>
              <w:t>Ongoing</w:t>
            </w:r>
          </w:p>
        </w:tc>
        <w:tc>
          <w:tcPr>
            <w:tcW w:w="3888" w:type="dxa"/>
          </w:tcPr>
          <w:p w:rsidR="00832FBD" w:rsidRDefault="00832FBD" w:rsidP="00832FBD">
            <w:pPr>
              <w:rPr>
                <w:rFonts w:ascii="Calibri" w:hAnsi="Calibri"/>
              </w:rPr>
            </w:pPr>
          </w:p>
        </w:tc>
      </w:tr>
    </w:tbl>
    <w:p w:rsidR="00832FBD" w:rsidRPr="00074024" w:rsidRDefault="00832FBD" w:rsidP="00832FBD">
      <w:pPr>
        <w:rPr>
          <w:rFonts w:ascii="Calibri" w:hAnsi="Calibri"/>
        </w:rPr>
      </w:pPr>
    </w:p>
    <w:p w:rsidR="00595F9D" w:rsidRPr="00B26A4C" w:rsidRDefault="00595F9D" w:rsidP="00595F9D">
      <w:pPr>
        <w:rPr>
          <w:rFonts w:ascii="Calibri" w:hAnsi="Calibri"/>
          <w:b/>
        </w:rPr>
      </w:pPr>
      <w:r w:rsidRPr="00B26A4C">
        <w:rPr>
          <w:rFonts w:ascii="Calibri" w:hAnsi="Calibri"/>
          <w:b/>
        </w:rPr>
        <w:t>References</w:t>
      </w:r>
    </w:p>
    <w:p w:rsidR="00595F9D" w:rsidRPr="00B26A4C" w:rsidRDefault="00595F9D" w:rsidP="00595F9D">
      <w:pPr>
        <w:pStyle w:val="ListParagraph"/>
        <w:numPr>
          <w:ilvl w:val="0"/>
          <w:numId w:val="9"/>
        </w:numPr>
        <w:spacing w:after="120" w:line="240" w:lineRule="auto"/>
        <w:ind w:left="360"/>
        <w:contextualSpacing w:val="0"/>
        <w:rPr>
          <w:rFonts w:ascii="Calibri" w:hAnsi="Calibri"/>
        </w:rPr>
      </w:pPr>
      <w:r w:rsidRPr="00B26A4C">
        <w:rPr>
          <w:rFonts w:ascii="Calibri" w:hAnsi="Calibri"/>
        </w:rPr>
        <w:t xml:space="preserve">Moore DE, Green JS, Gallis HA. Achieving desired results and improved outcomes: integrating planning and assessment throughout learning activities. </w:t>
      </w:r>
      <w:r w:rsidRPr="00B26A4C">
        <w:rPr>
          <w:rFonts w:ascii="Calibri" w:hAnsi="Calibri"/>
          <w:i/>
        </w:rPr>
        <w:t>J Contin Educ Health Prof</w:t>
      </w:r>
      <w:r w:rsidRPr="00B26A4C">
        <w:rPr>
          <w:rFonts w:ascii="Calibri" w:hAnsi="Calibri"/>
        </w:rPr>
        <w:t>. 2009;</w:t>
      </w:r>
      <w:r>
        <w:rPr>
          <w:rFonts w:ascii="Calibri" w:hAnsi="Calibri"/>
        </w:rPr>
        <w:t xml:space="preserve"> </w:t>
      </w:r>
      <w:r w:rsidRPr="00B26A4C">
        <w:rPr>
          <w:rFonts w:ascii="Calibri" w:hAnsi="Calibri"/>
        </w:rPr>
        <w:t>29:1-15.</w:t>
      </w:r>
    </w:p>
    <w:p w:rsidR="00595F9D" w:rsidRPr="00B26A4C" w:rsidRDefault="00595F9D" w:rsidP="00595F9D">
      <w:pPr>
        <w:pStyle w:val="ListParagraph"/>
        <w:numPr>
          <w:ilvl w:val="0"/>
          <w:numId w:val="9"/>
        </w:numPr>
        <w:spacing w:after="120" w:line="240" w:lineRule="auto"/>
        <w:ind w:left="360"/>
        <w:contextualSpacing w:val="0"/>
        <w:rPr>
          <w:rFonts w:ascii="Calibri" w:hAnsi="Calibri"/>
        </w:rPr>
      </w:pPr>
      <w:r>
        <w:rPr>
          <w:rFonts w:ascii="Calibri" w:hAnsi="Calibri"/>
        </w:rPr>
        <w:t xml:space="preserve">Cobaugh DJ, </w:t>
      </w:r>
      <w:proofErr w:type="spellStart"/>
      <w:r>
        <w:rPr>
          <w:rFonts w:ascii="Calibri" w:hAnsi="Calibri"/>
        </w:rPr>
        <w:t>Marynard</w:t>
      </w:r>
      <w:proofErr w:type="spellEnd"/>
      <w:r>
        <w:rPr>
          <w:rFonts w:ascii="Calibri" w:hAnsi="Calibri"/>
        </w:rPr>
        <w:t xml:space="preserve"> G, Cooper L et al. Enhancing insulin-use safety in hospitals: practice recommendations for an ASHP Foundation expert consensus panel. </w:t>
      </w:r>
      <w:proofErr w:type="gramStart"/>
      <w:r w:rsidRPr="00320F73">
        <w:rPr>
          <w:rFonts w:ascii="Calibri" w:hAnsi="Calibri"/>
          <w:i/>
        </w:rPr>
        <w:t>Am</w:t>
      </w:r>
      <w:proofErr w:type="gramEnd"/>
      <w:r w:rsidRPr="00320F73">
        <w:rPr>
          <w:rFonts w:ascii="Calibri" w:hAnsi="Calibri"/>
          <w:i/>
        </w:rPr>
        <w:t xml:space="preserve"> J Health-</w:t>
      </w:r>
      <w:proofErr w:type="spellStart"/>
      <w:r w:rsidRPr="00320F73">
        <w:rPr>
          <w:rFonts w:ascii="Calibri" w:hAnsi="Calibri"/>
          <w:i/>
        </w:rPr>
        <w:t>Syst</w:t>
      </w:r>
      <w:proofErr w:type="spellEnd"/>
      <w:r w:rsidRPr="00320F73">
        <w:rPr>
          <w:rFonts w:ascii="Calibri" w:hAnsi="Calibri"/>
          <w:i/>
        </w:rPr>
        <w:t xml:space="preserve"> Pharm.</w:t>
      </w:r>
      <w:r>
        <w:rPr>
          <w:rFonts w:ascii="Calibri" w:hAnsi="Calibri"/>
        </w:rPr>
        <w:t xml:space="preserve"> 2013; 70:1404-13.</w:t>
      </w:r>
    </w:p>
    <w:p w:rsidR="00595F9D" w:rsidRDefault="00595F9D" w:rsidP="00595F9D">
      <w:pPr>
        <w:pStyle w:val="ListParagraph"/>
        <w:numPr>
          <w:ilvl w:val="0"/>
          <w:numId w:val="9"/>
        </w:numPr>
        <w:spacing w:after="120" w:line="240" w:lineRule="auto"/>
        <w:ind w:left="360"/>
        <w:contextualSpacing w:val="0"/>
        <w:rPr>
          <w:rFonts w:ascii="Calibri" w:hAnsi="Calibri"/>
        </w:rPr>
      </w:pPr>
      <w:r>
        <w:rPr>
          <w:rFonts w:ascii="Calibri" w:hAnsi="Calibri"/>
        </w:rPr>
        <w:t xml:space="preserve">Centers for Disease Control and Prevention. CDC Clinical reminder. Insulin pens must never be used for more than one person. </w:t>
      </w:r>
      <w:hyperlink r:id="rId9" w:history="1">
        <w:r w:rsidRPr="00F11423">
          <w:rPr>
            <w:rStyle w:val="Hyperlink"/>
            <w:rFonts w:ascii="Calibri" w:hAnsi="Calibri"/>
          </w:rPr>
          <w:t>www.cdc.gov/injectionsafety/pdf/clinical-reminder-insulin-pen.pdf</w:t>
        </w:r>
      </w:hyperlink>
      <w:r>
        <w:rPr>
          <w:rFonts w:ascii="Calibri" w:hAnsi="Calibri"/>
        </w:rPr>
        <w:t xml:space="preserve"> (accessed 2014 Jun 17).</w:t>
      </w:r>
    </w:p>
    <w:p w:rsidR="00595F9D" w:rsidRPr="00B26A4C" w:rsidRDefault="00595F9D" w:rsidP="00595F9D">
      <w:pPr>
        <w:pStyle w:val="ListParagraph"/>
        <w:numPr>
          <w:ilvl w:val="0"/>
          <w:numId w:val="9"/>
        </w:numPr>
        <w:spacing w:after="120" w:line="240" w:lineRule="auto"/>
        <w:ind w:left="360"/>
        <w:contextualSpacing w:val="0"/>
        <w:rPr>
          <w:rFonts w:ascii="Calibri" w:hAnsi="Calibri"/>
        </w:rPr>
      </w:pPr>
      <w:r>
        <w:rPr>
          <w:rFonts w:ascii="Calibri" w:hAnsi="Calibri"/>
        </w:rPr>
        <w:t xml:space="preserve">Mitchell VD, Porter K, Beatty SJ. Administration technique and storage of disposable insulin pens by patients with diabetes. </w:t>
      </w:r>
      <w:r w:rsidRPr="00320F73">
        <w:rPr>
          <w:rFonts w:ascii="Calibri" w:hAnsi="Calibri"/>
          <w:i/>
        </w:rPr>
        <w:t>Diabetes Educ</w:t>
      </w:r>
      <w:r>
        <w:rPr>
          <w:rFonts w:ascii="Calibri" w:hAnsi="Calibri"/>
        </w:rPr>
        <w:t>. 2012; 38:651-8.</w:t>
      </w:r>
    </w:p>
    <w:p w:rsidR="00FC0F5E" w:rsidRDefault="00FC0F5E" w:rsidP="00595F9D">
      <w:pPr>
        <w:spacing w:after="120"/>
        <w:ind w:left="360" w:hanging="360"/>
      </w:pPr>
    </w:p>
    <w:sectPr w:rsidR="00FC0F5E" w:rsidSect="007C730B">
      <w:headerReference w:type="default" r:id="rId10"/>
      <w:footerReference w:type="default" r:id="rId11"/>
      <w:headerReference w:type="first" r:id="rId12"/>
      <w:footerReference w:type="first" r:id="rId13"/>
      <w:pgSz w:w="12240" w:h="15840"/>
      <w:pgMar w:top="1440" w:right="1080" w:bottom="1440" w:left="1080" w:header="45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8C" w:rsidRDefault="00A8618C" w:rsidP="009723B0">
      <w:pPr>
        <w:spacing w:after="0" w:line="240" w:lineRule="auto"/>
      </w:pPr>
      <w:r>
        <w:separator/>
      </w:r>
    </w:p>
  </w:endnote>
  <w:endnote w:type="continuationSeparator" w:id="0">
    <w:p w:rsidR="00A8618C" w:rsidRDefault="00A8618C"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857098" w:rsidTr="00832FBD">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857098" w:rsidRDefault="007C730B" w:rsidP="007C730B">
          <w:pPr>
            <w:pStyle w:val="Footer"/>
            <w:jc w:val="right"/>
            <w:rPr>
              <w:sz w:val="18"/>
              <w:szCs w:val="18"/>
            </w:rPr>
          </w:pPr>
          <w:r w:rsidRPr="00857098">
            <w:rPr>
              <w:sz w:val="18"/>
              <w:szCs w:val="18"/>
            </w:rPr>
            <w:t>Aug-14</w:t>
          </w:r>
          <w:r w:rsidRPr="00857098">
            <w:rPr>
              <w:sz w:val="18"/>
              <w:szCs w:val="18"/>
            </w:rPr>
            <w:br/>
            <w:t xml:space="preserve">Page </w:t>
          </w:r>
          <w:r w:rsidRPr="00857098">
            <w:rPr>
              <w:b/>
              <w:bCs/>
              <w:sz w:val="18"/>
              <w:szCs w:val="18"/>
            </w:rPr>
            <w:fldChar w:fldCharType="begin"/>
          </w:r>
          <w:r w:rsidRPr="00857098">
            <w:rPr>
              <w:b/>
              <w:bCs/>
              <w:sz w:val="18"/>
              <w:szCs w:val="18"/>
            </w:rPr>
            <w:instrText xml:space="preserve"> PAGE  \* Arabic  \* MERGEFORMAT </w:instrText>
          </w:r>
          <w:r w:rsidRPr="00857098">
            <w:rPr>
              <w:b/>
              <w:bCs/>
              <w:sz w:val="18"/>
              <w:szCs w:val="18"/>
            </w:rPr>
            <w:fldChar w:fldCharType="separate"/>
          </w:r>
          <w:r w:rsidR="00857098">
            <w:rPr>
              <w:b/>
              <w:bCs/>
              <w:noProof/>
              <w:sz w:val="18"/>
              <w:szCs w:val="18"/>
            </w:rPr>
            <w:t>2</w:t>
          </w:r>
          <w:r w:rsidRPr="00857098">
            <w:rPr>
              <w:b/>
              <w:bCs/>
              <w:sz w:val="18"/>
              <w:szCs w:val="18"/>
            </w:rPr>
            <w:fldChar w:fldCharType="end"/>
          </w:r>
          <w:r w:rsidRPr="00857098">
            <w:rPr>
              <w:sz w:val="18"/>
              <w:szCs w:val="18"/>
            </w:rPr>
            <w:t xml:space="preserve"> of </w:t>
          </w:r>
          <w:r w:rsidRPr="00857098">
            <w:rPr>
              <w:b/>
              <w:bCs/>
              <w:sz w:val="18"/>
              <w:szCs w:val="18"/>
            </w:rPr>
            <w:fldChar w:fldCharType="begin"/>
          </w:r>
          <w:r w:rsidRPr="00857098">
            <w:rPr>
              <w:b/>
              <w:bCs/>
              <w:sz w:val="18"/>
              <w:szCs w:val="18"/>
            </w:rPr>
            <w:instrText xml:space="preserve"> NUMPAGES  \* Arabic  \* MERGEFORMAT </w:instrText>
          </w:r>
          <w:r w:rsidRPr="00857098">
            <w:rPr>
              <w:b/>
              <w:bCs/>
              <w:sz w:val="18"/>
              <w:szCs w:val="18"/>
            </w:rPr>
            <w:fldChar w:fldCharType="separate"/>
          </w:r>
          <w:r w:rsidR="00857098">
            <w:rPr>
              <w:b/>
              <w:bCs/>
              <w:noProof/>
              <w:sz w:val="18"/>
              <w:szCs w:val="18"/>
            </w:rPr>
            <w:t>2</w:t>
          </w:r>
          <w:r w:rsidRPr="00857098">
            <w:rPr>
              <w:b/>
              <w:bCs/>
              <w:sz w:val="18"/>
              <w:szCs w:val="18"/>
            </w:rPr>
            <w:fldChar w:fldCharType="end"/>
          </w:r>
        </w:p>
      </w:tc>
    </w:tr>
  </w:tbl>
  <w:p w:rsidR="004E7A1C" w:rsidRPr="007C730B" w:rsidRDefault="004B09DA" w:rsidP="004B09DA">
    <w:pPr>
      <w:pStyle w:val="Footer"/>
      <w:tabs>
        <w:tab w:val="clear" w:pos="4680"/>
        <w:tab w:val="clear" w:pos="9360"/>
        <w:tab w:val="left" w:pos="561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857098" w:rsidTr="007C730B">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857098" w:rsidRDefault="007C730B" w:rsidP="007C730B">
          <w:pPr>
            <w:pStyle w:val="Footer"/>
            <w:jc w:val="right"/>
            <w:rPr>
              <w:sz w:val="18"/>
              <w:szCs w:val="18"/>
            </w:rPr>
          </w:pPr>
          <w:r w:rsidRPr="00857098">
            <w:rPr>
              <w:sz w:val="18"/>
              <w:szCs w:val="18"/>
            </w:rPr>
            <w:t>Aug-14</w:t>
          </w:r>
          <w:r w:rsidRPr="00857098">
            <w:rPr>
              <w:sz w:val="18"/>
              <w:szCs w:val="18"/>
            </w:rPr>
            <w:br/>
            <w:t xml:space="preserve">Page </w:t>
          </w:r>
          <w:r w:rsidRPr="00857098">
            <w:rPr>
              <w:b/>
              <w:bCs/>
              <w:sz w:val="18"/>
              <w:szCs w:val="18"/>
            </w:rPr>
            <w:fldChar w:fldCharType="begin"/>
          </w:r>
          <w:r w:rsidRPr="00857098">
            <w:rPr>
              <w:b/>
              <w:bCs/>
              <w:sz w:val="18"/>
              <w:szCs w:val="18"/>
            </w:rPr>
            <w:instrText xml:space="preserve"> PAGE  \* Arabic  \* MERGEFORMAT </w:instrText>
          </w:r>
          <w:r w:rsidRPr="00857098">
            <w:rPr>
              <w:b/>
              <w:bCs/>
              <w:sz w:val="18"/>
              <w:szCs w:val="18"/>
            </w:rPr>
            <w:fldChar w:fldCharType="separate"/>
          </w:r>
          <w:r w:rsidR="00857098">
            <w:rPr>
              <w:b/>
              <w:bCs/>
              <w:noProof/>
              <w:sz w:val="18"/>
              <w:szCs w:val="18"/>
            </w:rPr>
            <w:t>1</w:t>
          </w:r>
          <w:r w:rsidRPr="00857098">
            <w:rPr>
              <w:b/>
              <w:bCs/>
              <w:sz w:val="18"/>
              <w:szCs w:val="18"/>
            </w:rPr>
            <w:fldChar w:fldCharType="end"/>
          </w:r>
          <w:r w:rsidRPr="00857098">
            <w:rPr>
              <w:sz w:val="18"/>
              <w:szCs w:val="18"/>
            </w:rPr>
            <w:t xml:space="preserve"> of </w:t>
          </w:r>
          <w:r w:rsidRPr="00857098">
            <w:rPr>
              <w:b/>
              <w:bCs/>
              <w:sz w:val="18"/>
              <w:szCs w:val="18"/>
            </w:rPr>
            <w:fldChar w:fldCharType="begin"/>
          </w:r>
          <w:r w:rsidRPr="00857098">
            <w:rPr>
              <w:b/>
              <w:bCs/>
              <w:sz w:val="18"/>
              <w:szCs w:val="18"/>
            </w:rPr>
            <w:instrText xml:space="preserve"> NUMPAGES  \* Arabic  \* MERGEFORMAT </w:instrText>
          </w:r>
          <w:r w:rsidRPr="00857098">
            <w:rPr>
              <w:b/>
              <w:bCs/>
              <w:sz w:val="18"/>
              <w:szCs w:val="18"/>
            </w:rPr>
            <w:fldChar w:fldCharType="separate"/>
          </w:r>
          <w:r w:rsidR="00857098">
            <w:rPr>
              <w:b/>
              <w:bCs/>
              <w:noProof/>
              <w:sz w:val="18"/>
              <w:szCs w:val="18"/>
            </w:rPr>
            <w:t>2</w:t>
          </w:r>
          <w:r w:rsidRPr="00857098">
            <w:rPr>
              <w:b/>
              <w:bCs/>
              <w:sz w:val="18"/>
              <w:szCs w:val="18"/>
            </w:rPr>
            <w:fldChar w:fldCharType="end"/>
          </w:r>
        </w:p>
      </w:tc>
    </w:tr>
  </w:tbl>
  <w:p w:rsidR="00264813" w:rsidRPr="007C730B" w:rsidRDefault="00264813" w:rsidP="007C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8C" w:rsidRDefault="00A8618C" w:rsidP="009723B0">
      <w:pPr>
        <w:spacing w:after="0" w:line="240" w:lineRule="auto"/>
      </w:pPr>
      <w:r>
        <w:separator/>
      </w:r>
    </w:p>
  </w:footnote>
  <w:footnote w:type="continuationSeparator" w:id="0">
    <w:p w:rsidR="00A8618C" w:rsidRDefault="00A8618C"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1C" w:rsidRPr="00595F9D" w:rsidRDefault="00595F9D" w:rsidP="00595F9D">
    <w:pPr>
      <w:jc w:val="right"/>
      <w:rPr>
        <w:rFonts w:ascii="Calibri" w:hAnsi="Calibri"/>
        <w:b/>
        <w:sz w:val="24"/>
        <w:szCs w:val="24"/>
      </w:rPr>
    </w:pPr>
    <w:r w:rsidRPr="00595F9D">
      <w:rPr>
        <w:rFonts w:ascii="Calibri" w:hAnsi="Calibri"/>
        <w:b/>
        <w:sz w:val="24"/>
        <w:szCs w:val="24"/>
      </w:rPr>
      <w:t>Outcome Measures: Introduction and Recommended Data Collection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B0" w:rsidRPr="00264813" w:rsidRDefault="009723B0" w:rsidP="00264813">
    <w:pPr>
      <w:pStyle w:val="Header"/>
      <w:spacing w:after="0" w:line="240" w:lineRule="auto"/>
      <w:jc w:val="center"/>
      <w:rPr>
        <w:b/>
      </w:rPr>
    </w:pPr>
    <w:r w:rsidRPr="00264813">
      <w:rPr>
        <w:b/>
        <w:noProof/>
      </w:rPr>
      <w:drawing>
        <wp:inline distT="0" distB="0" distL="0" distR="0" wp14:anchorId="494C2842" wp14:editId="09B14AC4">
          <wp:extent cx="6400800" cy="1072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722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C6D5A"/>
    <w:multiLevelType w:val="hybridMultilevel"/>
    <w:tmpl w:val="A39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7">
    <w:nsid w:val="702A52FE"/>
    <w:multiLevelType w:val="hybridMultilevel"/>
    <w:tmpl w:val="3DF6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num w:numId="1">
    <w:abstractNumId w:val="8"/>
  </w:num>
  <w:num w:numId="2">
    <w:abstractNumId w:val="6"/>
  </w:num>
  <w:num w:numId="3">
    <w:abstractNumId w:val="4"/>
  </w:num>
  <w:num w:numId="4">
    <w:abstractNumId w:val="1"/>
  </w:num>
  <w:num w:numId="5">
    <w:abstractNumId w:val="2"/>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0246B"/>
    <w:rsid w:val="00062D89"/>
    <w:rsid w:val="00083122"/>
    <w:rsid w:val="00156A61"/>
    <w:rsid w:val="001578A9"/>
    <w:rsid w:val="001B375C"/>
    <w:rsid w:val="001E4D3F"/>
    <w:rsid w:val="00202840"/>
    <w:rsid w:val="00264813"/>
    <w:rsid w:val="00265889"/>
    <w:rsid w:val="00335279"/>
    <w:rsid w:val="00426CD8"/>
    <w:rsid w:val="00454CA2"/>
    <w:rsid w:val="00485F69"/>
    <w:rsid w:val="004947F6"/>
    <w:rsid w:val="004B09DA"/>
    <w:rsid w:val="004C218A"/>
    <w:rsid w:val="004E7A1C"/>
    <w:rsid w:val="00556653"/>
    <w:rsid w:val="00595F9D"/>
    <w:rsid w:val="005C693F"/>
    <w:rsid w:val="005D1A7B"/>
    <w:rsid w:val="005F7A54"/>
    <w:rsid w:val="007C730B"/>
    <w:rsid w:val="00827BB1"/>
    <w:rsid w:val="00832FBD"/>
    <w:rsid w:val="00857098"/>
    <w:rsid w:val="008C6F87"/>
    <w:rsid w:val="009723B0"/>
    <w:rsid w:val="009C271F"/>
    <w:rsid w:val="009D07BD"/>
    <w:rsid w:val="00A8618C"/>
    <w:rsid w:val="00A9636C"/>
    <w:rsid w:val="00AE39D7"/>
    <w:rsid w:val="00BD4CCB"/>
    <w:rsid w:val="00C25938"/>
    <w:rsid w:val="00C96FC6"/>
    <w:rsid w:val="00CC2132"/>
    <w:rsid w:val="00DD751C"/>
    <w:rsid w:val="00E06644"/>
    <w:rsid w:val="00E132C4"/>
    <w:rsid w:val="00E92CFF"/>
    <w:rsid w:val="00F16140"/>
    <w:rsid w:val="00F2325A"/>
    <w:rsid w:val="00F44485"/>
    <w:rsid w:val="00F72027"/>
    <w:rsid w:val="00FC0F5E"/>
    <w:rsid w:val="00FF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injectionsafety/pdf/clinical-reminder-insulin-pe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6C15-5935-46B4-9DD2-7E14A501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Eter document title here to automatically place on subsequent headers</vt:lpstr>
    </vt:vector>
  </TitlesOfParts>
  <Company>American Society of Health-System Pharmacists</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 document title here to automatically place on subsequent headers</dc:title>
  <dc:creator>Jennifer Perrell</dc:creator>
  <cp:lastModifiedBy>Carla Brink</cp:lastModifiedBy>
  <cp:revision>2</cp:revision>
  <dcterms:created xsi:type="dcterms:W3CDTF">2014-08-13T18:25:00Z</dcterms:created>
  <dcterms:modified xsi:type="dcterms:W3CDTF">2014-08-15T17:41:00Z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